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2"/>
        <w:jc w:val="center"/>
      </w:pP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 w:firstLine="60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</w:t>
      </w:r>
      <w:r>
        <w:rPr>
          <w:rFonts w:ascii="Times New Roman" w:eastAsia="Times New Roman" w:hAnsi="Times New Roman" w:cs="Times New Roman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 по адресу: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Камолхона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Азамхоновича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паспорт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генеральный директор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Баходуров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UserDefinedgrp-3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срок не позднее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предоставил в Инспекцию ФНС России по г. Сургуту, по адресу: г. Сургут, ул. Геологическая, 2, </w:t>
      </w:r>
      <w:r>
        <w:rPr>
          <w:rFonts w:ascii="Times New Roman" w:eastAsia="Times New Roman" w:hAnsi="Times New Roman" w:cs="Times New Roman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Налоговая декларация по налогу на прибыль организаций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 представлена 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1,4 ст. 289 НК РФ - н</w:t>
      </w:r>
      <w:r>
        <w:rPr>
          <w:rFonts w:ascii="Times New Roman" w:eastAsia="Times New Roman" w:hAnsi="Times New Roman" w:cs="Times New Roman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hyperlink r:id="rId4" w:anchor="/multilink/10900200/paragraph/19024/number/2" w:history="1">
        <w:r>
          <w:rPr>
            <w:rFonts w:ascii="Times New Roman" w:eastAsia="Times New Roman" w:hAnsi="Times New Roman" w:cs="Times New Roman"/>
            <w:color w:val="0000EE"/>
          </w:rPr>
          <w:t>налоговые декларации</w:t>
        </w:r>
      </w:hyperlink>
      <w:r>
        <w:rPr>
          <w:rFonts w:ascii="Times New Roman" w:eastAsia="Times New Roman" w:hAnsi="Times New Roman" w:cs="Times New Roman"/>
        </w:rPr>
        <w:t xml:space="preserve"> в порядке, определенном настоящей статьей.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Согласно п. 3 ст.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4" w:anchor="/document/76822758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уду представлены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направлении копии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ведомление о явке в налоговый орган для составления протокола об административном правонарушении по ч. 1 ст.15.6 КоАП РФ;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ЕГРЮЛ; информационн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письмо; сведения о</w:t>
      </w:r>
      <w:r>
        <w:rPr>
          <w:rFonts w:ascii="Times New Roman" w:eastAsia="Times New Roman" w:hAnsi="Times New Roman" w:cs="Times New Roman"/>
        </w:rPr>
        <w:t>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 ко</w:t>
      </w:r>
      <w:r>
        <w:rPr>
          <w:rFonts w:ascii="Times New Roman" w:eastAsia="Times New Roman" w:hAnsi="Times New Roman" w:cs="Times New Roman"/>
        </w:rPr>
        <w:t>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списка почтовых отправлений; отчет об отслеживании отправления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административным органом квалифицированы по ч.1 ст.15.6 КоАП РФ как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 ст. 26.2 КоАП РФ доказательствами по делу являются</w:t>
      </w:r>
      <w:r>
        <w:rPr>
          <w:rFonts w:ascii="Times New Roman" w:eastAsia="Times New Roman" w:hAnsi="Times New Roman" w:cs="Times New Roman"/>
        </w:rPr>
        <w:t xml:space="preserve"> любые фактические </w:t>
      </w:r>
      <w:r>
        <w:rPr>
          <w:rFonts w:ascii="Times New Roman" w:eastAsia="Times New Roman" w:hAnsi="Times New Roman" w:cs="Times New Roman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иными протоколами, предусмотренными настоящим Кодексом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ежду тем, деяние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выразившиеся в несвоевременном представлении в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декларации по налогу на прибыль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образует состав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суд приходит к выводу о необходимости переквалификации действий </w:t>
      </w:r>
      <w:r>
        <w:rPr>
          <w:rFonts w:ascii="Times New Roman" w:eastAsia="Times New Roman" w:hAnsi="Times New Roman" w:cs="Times New Roman"/>
        </w:rPr>
        <w:t xml:space="preserve">(бездействий)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на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РФ, поскольку данный состав имеет единый родовой объект посягательства, а назначаемое наказание не ухудшает положение лица.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результате действия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ст.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 – 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должностному лицу наказания учитывается характер совершенного им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ереквалифицировать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Камолхона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Азамхоновича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ч. 1 ст. 15.6 КоАП РФ на ст. 15.5 КоАП РФ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Баходурова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Камолхона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Азамхоновича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15.5 КоАП РФ и </w:t>
      </w:r>
      <w:r>
        <w:rPr>
          <w:rFonts w:ascii="Times New Roman" w:eastAsia="Times New Roman" w:hAnsi="Times New Roman" w:cs="Times New Roman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300 рублей.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№ </w:t>
      </w:r>
      <w:r>
        <w:rPr>
          <w:rFonts w:ascii="Times New Roman" w:eastAsia="Times New Roman" w:hAnsi="Times New Roman" w:cs="Times New Roman"/>
        </w:rPr>
        <w:t>0412365400585008622515157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